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DF58" w14:textId="77777777" w:rsidR="00B241D0" w:rsidRPr="00252408" w:rsidRDefault="00B241D0" w:rsidP="00B241D0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52408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 xml:space="preserve">* </w:t>
      </w:r>
      <w:proofErr w:type="spellStart"/>
      <w:r w:rsidRPr="00252408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Formularul</w:t>
      </w:r>
      <w:proofErr w:type="spellEnd"/>
      <w:r w:rsidRPr="00252408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 xml:space="preserve"> 1 – </w:t>
      </w:r>
      <w:proofErr w:type="spellStart"/>
      <w:r w:rsidRPr="00252408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Cerere</w:t>
      </w:r>
      <w:proofErr w:type="spellEnd"/>
      <w:r w:rsidRPr="00252408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 xml:space="preserve"> de </w:t>
      </w:r>
      <w:proofErr w:type="spellStart"/>
      <w:r w:rsidRPr="00252408"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  <w:t>înscriere</w:t>
      </w:r>
      <w:proofErr w:type="spellEnd"/>
    </w:p>
    <w:p w14:paraId="7BAEFFEB" w14:textId="77777777" w:rsidR="00B241D0" w:rsidRPr="00252408" w:rsidRDefault="00B241D0" w:rsidP="00B241D0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9CC91E" w14:textId="77777777" w:rsidR="00B241D0" w:rsidRPr="00252408" w:rsidRDefault="00B241D0" w:rsidP="00B241D0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2408">
        <w:rPr>
          <w:rFonts w:ascii="Times New Roman" w:hAnsi="Times New Roman" w:cs="Times New Roman"/>
          <w:sz w:val="24"/>
          <w:szCs w:val="24"/>
          <w:lang w:val="ro-RO"/>
        </w:rPr>
        <w:t xml:space="preserve">Subsemnatul(a), _____________________________________, </w:t>
      </w:r>
    </w:p>
    <w:p w14:paraId="30DC495C" w14:textId="77777777" w:rsidR="00B241D0" w:rsidRPr="00252408" w:rsidRDefault="00B241D0" w:rsidP="00B241D0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F71083" w14:textId="77777777" w:rsidR="00B241D0" w:rsidRPr="00252408" w:rsidRDefault="00B241D0" w:rsidP="00B241D0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2408">
        <w:rPr>
          <w:rFonts w:ascii="Times New Roman" w:hAnsi="Times New Roman" w:cs="Times New Roman"/>
          <w:sz w:val="24"/>
          <w:szCs w:val="24"/>
          <w:lang w:val="ro-RO"/>
        </w:rPr>
        <w:t>Postul pentru care aplic:</w:t>
      </w:r>
    </w:p>
    <w:tbl>
      <w:tblPr>
        <w:tblStyle w:val="Tabelgril"/>
        <w:tblW w:w="9535" w:type="dxa"/>
        <w:tblLayout w:type="fixed"/>
        <w:tblLook w:val="04A0" w:firstRow="1" w:lastRow="0" w:firstColumn="1" w:lastColumn="0" w:noHBand="0" w:noVBand="1"/>
      </w:tblPr>
      <w:tblGrid>
        <w:gridCol w:w="6925"/>
        <w:gridCol w:w="2610"/>
      </w:tblGrid>
      <w:tr w:rsidR="00B241D0" w:rsidRPr="00252408" w14:paraId="3504726D" w14:textId="77777777" w:rsidTr="00C434B9">
        <w:trPr>
          <w:trHeight w:val="242"/>
        </w:trPr>
        <w:tc>
          <w:tcPr>
            <w:tcW w:w="6925" w:type="dxa"/>
          </w:tcPr>
          <w:p w14:paraId="5A412D02" w14:textId="77777777" w:rsidR="00B241D0" w:rsidRPr="00252408" w:rsidRDefault="00B241D0" w:rsidP="00C434B9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252408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Tip Post</w:t>
            </w:r>
          </w:p>
          <w:p w14:paraId="11688124" w14:textId="77777777" w:rsidR="00B241D0" w:rsidRPr="00252408" w:rsidRDefault="00B241D0" w:rsidP="00C434B9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2610" w:type="dxa"/>
          </w:tcPr>
          <w:p w14:paraId="712F0CA1" w14:textId="77777777" w:rsidR="00B241D0" w:rsidRPr="00252408" w:rsidRDefault="00B241D0" w:rsidP="00C434B9">
            <w:pPr>
              <w:widowControl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252408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Opțiunea candidatului/candidatei</w:t>
            </w:r>
          </w:p>
        </w:tc>
      </w:tr>
      <w:tr w:rsidR="00B241D0" w:rsidRPr="00252408" w14:paraId="0B7CD97C" w14:textId="77777777" w:rsidTr="00C434B9">
        <w:trPr>
          <w:trHeight w:val="2420"/>
        </w:trPr>
        <w:tc>
          <w:tcPr>
            <w:tcW w:w="6925" w:type="dxa"/>
          </w:tcPr>
          <w:p w14:paraId="06A695D8" w14:textId="77777777" w:rsidR="00B241D0" w:rsidRPr="00252408" w:rsidRDefault="00B241D0" w:rsidP="00C434B9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252408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Administrator - </w:t>
            </w:r>
            <w:r w:rsidRPr="002524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ro-RO"/>
              </w:rPr>
              <w:t xml:space="preserve">Studii superioare finalizate cu diploma, în domeniul fundamental al </w:t>
            </w:r>
            <w:proofErr w:type="spellStart"/>
            <w:r w:rsidRPr="002524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ro-RO"/>
              </w:rPr>
              <w:t>ştiinţelor</w:t>
            </w:r>
            <w:proofErr w:type="spellEnd"/>
            <w:r w:rsidRPr="002524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ro-RO"/>
              </w:rPr>
              <w:t>inginereşti</w:t>
            </w:r>
            <w:proofErr w:type="spellEnd"/>
            <w:r w:rsidRPr="002524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ro-RO"/>
              </w:rPr>
              <w:t>, economice, sociale, juridice sau echivalente</w:t>
            </w:r>
          </w:p>
          <w:p w14:paraId="3FCF3591" w14:textId="77777777" w:rsidR="00B241D0" w:rsidRPr="00252408" w:rsidRDefault="00B241D0" w:rsidP="00C434B9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252408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o-RO"/>
              </w:rPr>
              <w:t>(2 posturi)</w:t>
            </w:r>
          </w:p>
          <w:p w14:paraId="0B46DB10" w14:textId="77777777" w:rsidR="00B241D0" w:rsidRPr="00252408" w:rsidRDefault="00B241D0" w:rsidP="00B241D0">
            <w:pPr>
              <w:pStyle w:val="Listparagraf"/>
              <w:numPr>
                <w:ilvl w:val="0"/>
                <w:numId w:val="1"/>
              </w:numPr>
              <w:spacing w:line="276" w:lineRule="auto"/>
              <w:ind w:left="325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Experienţă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conducerea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societăților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regiilor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autonome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(art. 28 alin. 1 din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Ordonanța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Urgență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Guvernului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nr. 109/2011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guvernanța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corporativă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întreprinderilor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publice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cu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modificările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completările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ulterioare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de </w:t>
            </w:r>
            <w:r w:rsidRPr="002524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minimum 3 ani</w:t>
            </w:r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conducerea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societăţilor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întreprinderi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publice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cu capital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privat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regiilor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autonome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Prin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experienţă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conducerea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societăţilor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întreprinderi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publice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cu capital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privat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ori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regiilor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autonome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se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înţelege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deţinerea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oricărei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funcţii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conducere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astfel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cum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aceasta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este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definită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la art. 143 din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Legea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nr. </w:t>
            </w:r>
            <w:hyperlink r:id="rId5" w:anchor="/dokument/16777636" w:tgtFrame="_blank" w:history="1">
              <w:r w:rsidRPr="00252408">
                <w:rPr>
                  <w:rStyle w:val="Hyperlink"/>
                  <w:rFonts w:ascii="Times New Roman" w:hAnsi="Times New Roman" w:cs="Times New Roman"/>
                  <w:color w:val="1B7AB8"/>
                  <w:sz w:val="24"/>
                  <w:szCs w:val="24"/>
                </w:rPr>
                <w:t>31/1990</w:t>
              </w:r>
            </w:hyperlink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republicată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cu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modificările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completările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ulterioare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precum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funcţiei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 administrator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societate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/regie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autonomă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director general/director general adjunct/director/director adjunct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societate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regie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autonomă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director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executiv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director economic/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financiar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după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caz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conform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Clasificării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ocupaţiilor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România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384EB10E" w14:textId="77777777" w:rsidR="00B241D0" w:rsidRPr="00252408" w:rsidRDefault="00B241D0" w:rsidP="00C434B9">
            <w:pPr>
              <w:pStyle w:val="Listparagraf"/>
              <w:spacing w:line="276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3DEB416D" w14:textId="77777777" w:rsidR="00B241D0" w:rsidRPr="00252408" w:rsidRDefault="00B241D0" w:rsidP="00B241D0">
            <w:pPr>
              <w:pStyle w:val="Listparagraf"/>
              <w:numPr>
                <w:ilvl w:val="0"/>
                <w:numId w:val="1"/>
              </w:numPr>
              <w:spacing w:line="276" w:lineRule="auto"/>
              <w:ind w:left="325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Studii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superioare şi experienţă în domeniul ştiinţelor inginereşti, economice, sociale, juridice sau în domeniul de activitate al respectivei întreprinderi publice de </w:t>
            </w:r>
            <w:r w:rsidRPr="00252408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cel puţin 7 ani</w:t>
            </w:r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(art. 28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alin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. </w:t>
            </w:r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din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Ordonanța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Urgență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Guvernului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nr. 109/2011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guvernanța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corporativă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întreprinderilor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publice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cu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modificările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completările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ulterioare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14:paraId="0539B630" w14:textId="77777777" w:rsidR="00B241D0" w:rsidRPr="00252408" w:rsidRDefault="00B241D0" w:rsidP="00C434B9">
            <w:pPr>
              <w:spacing w:line="276" w:lineRule="auto"/>
              <w:ind w:left="709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120EFCC6" w14:textId="77777777" w:rsidR="00B241D0" w:rsidRPr="00252408" w:rsidRDefault="00B241D0" w:rsidP="00C434B9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2610" w:type="dxa"/>
          </w:tcPr>
          <w:p w14:paraId="6403E748" w14:textId="77777777" w:rsidR="00B241D0" w:rsidRPr="00252408" w:rsidRDefault="00B241D0" w:rsidP="00C434B9">
            <w:pPr>
              <w:widowControl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</w:p>
          <w:p w14:paraId="04CCAD92" w14:textId="77777777" w:rsidR="00B241D0" w:rsidRPr="00252408" w:rsidRDefault="00B241D0" w:rsidP="00C434B9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</w:p>
          <w:p w14:paraId="3B2B698B" w14:textId="77777777" w:rsidR="00B241D0" w:rsidRPr="00252408" w:rsidRDefault="00B241D0" w:rsidP="00C434B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241D0" w:rsidRPr="00252408" w14:paraId="1A5C8D34" w14:textId="77777777" w:rsidTr="00C434B9">
        <w:trPr>
          <w:trHeight w:val="449"/>
        </w:trPr>
        <w:tc>
          <w:tcPr>
            <w:tcW w:w="6925" w:type="dxa"/>
          </w:tcPr>
          <w:p w14:paraId="4FB0114F" w14:textId="77777777" w:rsidR="00B241D0" w:rsidRPr="00252408" w:rsidRDefault="00B241D0" w:rsidP="00C434B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252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/>
              </w:rPr>
              <w:t>Administrator – profil auditor (1 post)</w:t>
            </w:r>
          </w:p>
          <w:p w14:paraId="3094E46F" w14:textId="77777777" w:rsidR="00B241D0" w:rsidRPr="00252408" w:rsidRDefault="00B241D0" w:rsidP="00C434B9">
            <w:pPr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5B0C3CE8" w14:textId="77777777" w:rsidR="00B241D0" w:rsidRPr="00252408" w:rsidRDefault="00B241D0" w:rsidP="00C434B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fr-BE"/>
              </w:rPr>
            </w:pPr>
            <w:proofErr w:type="spellStart"/>
            <w:r w:rsidRPr="002524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fr-BE"/>
              </w:rPr>
              <w:t>Condiții</w:t>
            </w:r>
            <w:proofErr w:type="spellEnd"/>
            <w:r w:rsidRPr="002524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fr-BE"/>
              </w:rPr>
              <w:t>generale</w:t>
            </w:r>
            <w:proofErr w:type="spellEnd"/>
            <w:r w:rsidRPr="002524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fr-BE"/>
              </w:rPr>
              <w:t xml:space="preserve"> minime </w:t>
            </w:r>
            <w:proofErr w:type="spellStart"/>
            <w:r w:rsidRPr="002524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fr-BE"/>
              </w:rPr>
              <w:t>obligatorii</w:t>
            </w:r>
            <w:proofErr w:type="spellEnd"/>
            <w:r w:rsidRPr="002524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fr-BE"/>
              </w:rPr>
              <w:t xml:space="preserve"> de </w:t>
            </w:r>
            <w:proofErr w:type="spellStart"/>
            <w:proofErr w:type="gramStart"/>
            <w:r w:rsidRPr="002524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fr-BE"/>
              </w:rPr>
              <w:t>participare</w:t>
            </w:r>
            <w:proofErr w:type="spellEnd"/>
            <w:r w:rsidRPr="002524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fr-BE"/>
              </w:rPr>
              <w:t>:</w:t>
            </w:r>
            <w:proofErr w:type="gramEnd"/>
          </w:p>
          <w:p w14:paraId="7F896E2A" w14:textId="77777777" w:rsidR="00B241D0" w:rsidRPr="00252408" w:rsidRDefault="00B241D0" w:rsidP="00B241D0">
            <w:pPr>
              <w:pStyle w:val="Listparagraf"/>
              <w:numPr>
                <w:ilvl w:val="0"/>
                <w:numId w:val="1"/>
              </w:numPr>
              <w:spacing w:line="276" w:lineRule="auto"/>
              <w:ind w:left="325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Experienţă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conducerea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societăților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regiilor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autonome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(art. 28 alin. 1 din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Ordonanța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Urgență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Guvernului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nr. 109/2011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guvernanța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corporativă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întreprinderilor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publice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cu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modificările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și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completările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ulterioare</w:t>
            </w:r>
            <w:proofErr w:type="spellEnd"/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de </w:t>
            </w:r>
            <w:r w:rsidRPr="002524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minimum 3 ani</w:t>
            </w:r>
            <w:r w:rsidRPr="00252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conducerea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societăţilor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întreprinderi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publice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cu capital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privat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regiilor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autonome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Prin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experienţă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conducerea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societăţilor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întreprinderi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publice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cu capital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privat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ori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regiilor</w:t>
            </w:r>
            <w:proofErr w:type="spellEnd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autonome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se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înţelege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deţinerea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oricărei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funcţii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conducere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astfel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cum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aceasta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este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definită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la art. 143 din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Legea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nr. </w:t>
            </w:r>
            <w:hyperlink r:id="rId6" w:anchor="/dokument/16777636" w:tgtFrame="_blank" w:history="1">
              <w:r w:rsidRPr="00252408">
                <w:rPr>
                  <w:rStyle w:val="Hyperlink"/>
                  <w:rFonts w:ascii="Times New Roman" w:hAnsi="Times New Roman" w:cs="Times New Roman"/>
                  <w:color w:val="1B7AB8"/>
                  <w:sz w:val="24"/>
                  <w:szCs w:val="24"/>
                </w:rPr>
                <w:t>31/1990</w:t>
              </w:r>
            </w:hyperlink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republicată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cu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modificările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completările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ulterioare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precum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şi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funcţiei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 administrator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societate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/regie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autonomă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director general/director general adjunct/director/director adjunct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societate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regie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autonomă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director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executiv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director economic/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financiar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după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caz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conform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Clasificării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ocupaţiilor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România</w:t>
            </w:r>
            <w:proofErr w:type="spellEnd"/>
            <w:r w:rsidRPr="002524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565431F3" w14:textId="77777777" w:rsidR="00B241D0" w:rsidRPr="00252408" w:rsidRDefault="00B241D0" w:rsidP="00C434B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</w:pPr>
          </w:p>
          <w:p w14:paraId="770D184E" w14:textId="77777777" w:rsidR="00B241D0" w:rsidRPr="00252408" w:rsidRDefault="00B241D0" w:rsidP="00C434B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Studii</w:t>
            </w:r>
            <w:proofErr w:type="spellEnd"/>
            <w:r w:rsidRPr="00252408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superioare şi experienţă în domeniul ştiinţelor inginereşti, economice, sociale, juridice sau în domeniul de activitate al respectivei întreprinderi publice de </w:t>
            </w:r>
            <w:r w:rsidRPr="00252408"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  <w:t>cel puţin 7 ani</w:t>
            </w:r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(art. 28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alin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. </w:t>
            </w:r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(3) din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Ordonanța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Urgență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Guvernului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nr. 109/2011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guvernanța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corporativă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întreprinderilor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publice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cu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modificările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completările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ulterioare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14:paraId="4C6A7128" w14:textId="77777777" w:rsidR="00B241D0" w:rsidRPr="00252408" w:rsidRDefault="00B241D0" w:rsidP="00C434B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2A83D915" w14:textId="77777777" w:rsidR="00B241D0" w:rsidRPr="00252408" w:rsidRDefault="00B241D0" w:rsidP="00C434B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252408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Persoana care este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calificată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ca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auditor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financiar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conform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unui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document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emis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către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autoritatea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competentă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din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România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,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din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alt stat membru,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dintr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-un stat membru al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Asociaţiei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Europene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a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Liberului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Schimb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,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din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Elveţia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sau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din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Regatul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Unit al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Marii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Britanii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şi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Irlandei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de Nord,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potrivit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legii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. Prin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excepţie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de la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această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prevedere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, este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competentă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fie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selectată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și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facă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parte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din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Comitetul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de audit al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întreprinderii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publice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şi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persoana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care are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experienţă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cel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puţin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3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ani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în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audit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statutar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,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dobândită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prin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participarea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la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misiuni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de audit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statutar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în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România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,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în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alt stat membru,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într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-un stat al AELS,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în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Elveţia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sau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în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Regatul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Unit al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Marii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Britanii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şi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Irlandei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de Nord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sau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în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cadrul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comitetelor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de audit formate la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nivelul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consiliilor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administraţie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/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supraveghere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ale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unor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societăţi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/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entităţi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interes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public,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dovedită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cu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documente. (</w:t>
            </w:r>
            <w:proofErr w:type="gram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art.</w:t>
            </w:r>
            <w:proofErr w:type="gram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34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alin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. 4</w:t>
            </w:r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val="fr-BE"/>
              </w:rPr>
              <w:t>1</w:t>
            </w:r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din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Ordonanța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de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Urgență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a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Guvernului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nr. 109/2011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privind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guvernanța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corporativă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a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întreprinderilor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publice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,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cu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modificările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și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completările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ulterioare</w:t>
            </w:r>
            <w:proofErr w:type="spellEnd"/>
            <w:r w:rsidRPr="002524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fr-BE"/>
              </w:rPr>
              <w:t>).</w:t>
            </w:r>
          </w:p>
          <w:p w14:paraId="1F2BD465" w14:textId="77777777" w:rsidR="00B241D0" w:rsidRPr="00252408" w:rsidRDefault="00B241D0" w:rsidP="00C434B9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sv-SE"/>
              </w:rPr>
            </w:pPr>
          </w:p>
        </w:tc>
        <w:tc>
          <w:tcPr>
            <w:tcW w:w="2610" w:type="dxa"/>
          </w:tcPr>
          <w:p w14:paraId="6F7FF164" w14:textId="77777777" w:rsidR="00B241D0" w:rsidRPr="00252408" w:rsidRDefault="00B241D0" w:rsidP="00C434B9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</w:tbl>
    <w:p w14:paraId="6BA1D1BD" w14:textId="77777777" w:rsidR="00B241D0" w:rsidRPr="00252408" w:rsidRDefault="00B241D0" w:rsidP="00B241D0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F8354C" w14:textId="77777777" w:rsidR="00B241D0" w:rsidRPr="00252408" w:rsidRDefault="00B241D0" w:rsidP="00B241D0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2408">
        <w:rPr>
          <w:rFonts w:ascii="Times New Roman" w:hAnsi="Times New Roman" w:cs="Times New Roman"/>
          <w:sz w:val="24"/>
          <w:szCs w:val="24"/>
          <w:lang w:val="ro-RO"/>
        </w:rPr>
        <w:t>Semnătura _______________________</w:t>
      </w:r>
    </w:p>
    <w:p w14:paraId="02218559" w14:textId="77777777" w:rsidR="00B241D0" w:rsidRPr="00252408" w:rsidRDefault="00B241D0" w:rsidP="00B241D0">
      <w:pPr>
        <w:shd w:val="clear" w:color="auto" w:fill="FFFFFF" w:themeFill="background1"/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B05478D" w14:textId="77777777" w:rsidR="00B241D0" w:rsidRPr="00252408" w:rsidRDefault="00B241D0" w:rsidP="00B241D0">
      <w:pPr>
        <w:pStyle w:val="Listparagraf"/>
        <w:shd w:val="clear" w:color="auto" w:fill="FFFFFF" w:themeFill="background1"/>
        <w:tabs>
          <w:tab w:val="left" w:pos="1276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496CA1B" w14:textId="77777777" w:rsidR="00B241D0" w:rsidRPr="00252408" w:rsidRDefault="00B241D0" w:rsidP="00B241D0">
      <w:pPr>
        <w:pStyle w:val="Listparagraf"/>
        <w:shd w:val="clear" w:color="auto" w:fill="FFFFFF" w:themeFill="background1"/>
        <w:tabs>
          <w:tab w:val="left" w:pos="1276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E64A8D2" w14:textId="77777777" w:rsidR="00511FD6" w:rsidRDefault="00511FD6"/>
    <w:sectPr w:rsidR="00511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13AE8"/>
    <w:multiLevelType w:val="hybridMultilevel"/>
    <w:tmpl w:val="22384946"/>
    <w:lvl w:ilvl="0" w:tplc="154459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3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D0"/>
    <w:rsid w:val="00062735"/>
    <w:rsid w:val="00287FB5"/>
    <w:rsid w:val="00511FD6"/>
    <w:rsid w:val="00523839"/>
    <w:rsid w:val="00705C91"/>
    <w:rsid w:val="00B2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ECAF"/>
  <w15:chartTrackingRefBased/>
  <w15:docId w15:val="{1DA9E264-D7A4-46B2-B73C-AFAE770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1D0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2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2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24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24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24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24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24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24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24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24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24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24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241D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241D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241D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241D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241D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241D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24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2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24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2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2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241D0"/>
    <w:rPr>
      <w:i/>
      <w:iCs/>
      <w:color w:val="404040" w:themeColor="text1" w:themeTint="BF"/>
    </w:rPr>
  </w:style>
  <w:style w:type="paragraph" w:styleId="Listparagraf">
    <w:name w:val="List Paragraph"/>
    <w:aliases w:val="Normal bullet 2,Paragraph,Bullet EY,List L1,References,List Paragraph1"/>
    <w:basedOn w:val="Normal"/>
    <w:link w:val="ListparagrafCaracter"/>
    <w:uiPriority w:val="1"/>
    <w:qFormat/>
    <w:rsid w:val="00B241D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241D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24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241D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241D0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B241D0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B241D0"/>
    <w:rPr>
      <w:rFonts w:eastAsiaTheme="minorEastAsia"/>
      <w:kern w:val="0"/>
      <w14:ligatures w14:val="none"/>
    </w:rPr>
  </w:style>
  <w:style w:type="character" w:styleId="Hyperlink">
    <w:name w:val="Hyperlink"/>
    <w:basedOn w:val="Fontdeparagrafimplicit"/>
    <w:uiPriority w:val="99"/>
    <w:unhideWhenUsed/>
    <w:rsid w:val="00B241D0"/>
    <w:rPr>
      <w:color w:val="467886" w:themeColor="hyperlink"/>
      <w:u w:val="single"/>
    </w:rPr>
  </w:style>
  <w:style w:type="table" w:styleId="Tabelgril">
    <w:name w:val="Table Grid"/>
    <w:basedOn w:val="TabelNormal"/>
    <w:uiPriority w:val="39"/>
    <w:rsid w:val="00B241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Paragraph Caracter,Bullet EY Caracter,List L1 Caracter,References Caracter,List Paragraph1 Caracter"/>
    <w:basedOn w:val="Fontdeparagrafimplicit"/>
    <w:link w:val="Listparagraf"/>
    <w:uiPriority w:val="1"/>
    <w:rsid w:val="00B2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ntact.ro/" TargetMode="External"/><Relationship Id="rId5" Type="http://schemas.openxmlformats.org/officeDocument/2006/relationships/hyperlink" Target="https://sintact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Terteci</dc:creator>
  <cp:keywords/>
  <dc:description/>
  <cp:lastModifiedBy>Danut Terteci</cp:lastModifiedBy>
  <cp:revision>1</cp:revision>
  <dcterms:created xsi:type="dcterms:W3CDTF">2026-02-17T08:49:00Z</dcterms:created>
  <dcterms:modified xsi:type="dcterms:W3CDTF">2026-02-17T08:49:00Z</dcterms:modified>
</cp:coreProperties>
</file>